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line="276" w:lineRule="auto"/>
        <w:ind w:firstLine="0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EDITAL PADRONIZADO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line="276" w:lineRule="auto"/>
        <w:ind w:firstLine="0"/>
        <w:jc w:val="center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 CHAMAMENTO PÚBLICO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Nº 008/2026/FCBC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br w:type="textWrapping"/>
        <w:t xml:space="preserve">REDE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MUNICIPAL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DE PONTOS DE CULTURA DE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BALNEÁRIO CAMBORIÚ</w:t>
      </w:r>
    </w:p>
    <w:p w:rsidR="00000000" w:rsidDel="00000000" w:rsidP="00000000" w:rsidRDefault="00000000" w:rsidRPr="00000000" w14:paraId="0000000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line="276" w:lineRule="auto"/>
        <w:ind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line="276" w:lineRule="auto"/>
        <w:ind w:firstLine="0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CULTURA VIVA DO TAMANHO DO BRASIL!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line="276" w:lineRule="auto"/>
        <w:ind w:firstLine="0"/>
        <w:jc w:val="center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 FOMENTO A PROJETOS CONTINUADOS DE PONTOS DE CULTURA</w:t>
      </w:r>
    </w:p>
    <w:p w:rsidR="00000000" w:rsidDel="00000000" w:rsidP="00000000" w:rsidRDefault="00000000" w:rsidRPr="00000000" w14:paraId="00000006">
      <w:pPr>
        <w:shd w:fill="ffffff" w:val="clear"/>
        <w:ind w:firstLine="0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tabs>
          <w:tab w:val="center" w:leader="none" w:pos="0"/>
        </w:tabs>
        <w:spacing w:after="120" w:before="120" w:lineRule="auto"/>
        <w:ind w:firstLine="0"/>
        <w:jc w:val="center"/>
        <w:rPr>
          <w:rFonts w:ascii="Calibri" w:cs="Calibri" w:eastAsia="Calibri" w:hAnsi="Calibri"/>
          <w:b w:val="1"/>
          <w:bCs w:val="1"/>
          <w:smallCap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u w:val="single"/>
          <w:rtl w:val="0"/>
        </w:rPr>
        <w:t xml:space="preserve">ANEXO 09 - DECLARAÇÃO CONJUNTA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567"/>
        </w:tabs>
        <w:spacing w:line="240" w:lineRule="auto"/>
        <w:ind w:left="0" w:hanging="2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rtl w:val="0"/>
        </w:rPr>
        <w:t xml:space="preserve">(Rubricar todas as páginas)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hd w:fill="ffffff" w:val="clear"/>
        <w:tabs>
          <w:tab w:val="left" w:leader="none" w:pos="567"/>
        </w:tabs>
        <w:spacing w:after="120" w:before="240" w:line="240" w:lineRule="auto"/>
        <w:ind w:left="0" w:hanging="2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Eu, ___________________________ (nome da pessoa responsável pela candidatura), residente e domiciliado(a) em ___________________________ (endereço residencial do dirigente), portador(a) da Carteira de Identidade n° ___________, CPF n° ___________, responsável pela inscrição da entidade cultural ___________________________ (nome da entidade cultural), CNPJ nº ___________________________, no referido Edital de Seleção para ampliação e fortalecimento da Política Nacional de Cultura Viva,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 DECLARO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: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hd w:fill="ffffff" w:val="clear"/>
        <w:tabs>
          <w:tab w:val="left" w:leader="none" w:pos="567"/>
        </w:tabs>
        <w:spacing w:after="120" w:before="240" w:line="240" w:lineRule="auto"/>
        <w:ind w:left="0" w:hanging="2"/>
        <w:jc w:val="both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Estar ciente de que as informações e documentos apresentados neste processo seletivo são de minha inteira responsabilidade, sendo a expressão da verdade;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hd w:fill="ffffff" w:val="clear"/>
        <w:tabs>
          <w:tab w:val="left" w:leader="none" w:pos="567"/>
        </w:tabs>
        <w:spacing w:after="120" w:before="240" w:line="240" w:lineRule="auto"/>
        <w:ind w:left="0" w:hanging="2"/>
        <w:jc w:val="both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Autorizar a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Fundação Cultural de Balneário Camboriú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e o Ministério da Cultura a publicar e divulgar, mediante reprodução, distribuição, comunicação ao público e quaisquer outras modalidades de utilização, sem quaisquer ônus, por tempo indeterminado, os conteúdos da inscrição, do Termo de Compromisso Cultural e do projeto cultural;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hd w:fill="ffffff" w:val="clear"/>
        <w:tabs>
          <w:tab w:val="left" w:leader="none" w:pos="567"/>
        </w:tabs>
        <w:spacing w:after="120" w:before="240" w:line="240" w:lineRule="auto"/>
        <w:ind w:left="0" w:hanging="2"/>
        <w:jc w:val="both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Estar ciente e de acordo que a publicação e divulgação das matérias poderão ser realizadas inclusive em universidades, escolas, seminários, congressos, outros eventos e na mídia em geral, no Brasil e no exterior, observadas as legislações vigentes de cada país;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hd w:fill="ffffff" w:val="clear"/>
        <w:tabs>
          <w:tab w:val="left" w:leader="none" w:pos="567"/>
        </w:tabs>
        <w:spacing w:after="120" w:before="240" w:line="240" w:lineRule="auto"/>
        <w:ind w:left="0" w:hanging="2"/>
        <w:jc w:val="both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Não me enquadrar em quaisquer das vedações dispostas no Edital de Seleção, principalmente quanto ao disposto em seu item 4 (“quem não pode participar do edital”);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hd w:fill="ffffff" w:val="clear"/>
        <w:tabs>
          <w:tab w:val="left" w:leader="none" w:pos="567"/>
        </w:tabs>
        <w:spacing w:after="120" w:before="240" w:line="240" w:lineRule="auto"/>
        <w:ind w:left="0" w:hanging="2"/>
        <w:jc w:val="both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Concordar em receber visita técnica e/ou participar de reunião, com a missão de acompanhar e monitorar a execução e os resultados Termo de Compromisso Cultural, caso a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Fundação Cultural de Balneário Camboriú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e o Ministério da Cultura considerem apropriado;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hd w:fill="ffffff" w:val="clear"/>
        <w:tabs>
          <w:tab w:val="left" w:leader="none" w:pos="567"/>
        </w:tabs>
        <w:spacing w:after="120" w:before="240" w:line="240" w:lineRule="auto"/>
        <w:ind w:left="0" w:hanging="2"/>
        <w:jc w:val="both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Não existir plágio no projeto selecionado, assumindo integralmente a autoria e respondendo exclusivamente por eventuais acusações ou pleitos nesse sentido;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hd w:fill="ffffff" w:val="clear"/>
        <w:tabs>
          <w:tab w:val="left" w:leader="none" w:pos="567"/>
        </w:tabs>
        <w:spacing w:after="120" w:before="240" w:line="240" w:lineRule="auto"/>
        <w:ind w:left="0" w:hanging="2"/>
        <w:jc w:val="both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Possuir Capacidade Gerencial, Técnica e Operacional para o desenvolvimento e execução das atividades previstas no Plano de Trabalho, parte integrante do Termo de Compromisso Cultural, não ser mero intermediário na execução do projeto em epígrafe, e estar apto à execução do objeto na forma proposta;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hd w:fill="ffffff" w:val="clear"/>
        <w:tabs>
          <w:tab w:val="left" w:leader="none" w:pos="567"/>
        </w:tabs>
        <w:spacing w:after="120" w:before="240" w:line="240" w:lineRule="auto"/>
        <w:ind w:left="0" w:hanging="2"/>
        <w:jc w:val="both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Não ter projetos vigentes ou em análise com o mesmo objeto e/ou despesas semelhantes às pleiteadas nesta proposta em qualquer esfera do governo;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hd w:fill="ffffff" w:val="clear"/>
        <w:tabs>
          <w:tab w:val="left" w:leader="none" w:pos="567"/>
        </w:tabs>
        <w:spacing w:after="120" w:before="240" w:line="240" w:lineRule="auto"/>
        <w:ind w:left="0" w:hanging="2"/>
        <w:jc w:val="both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Respeitar a legislação pertinente referente à Leis Ambientais Brasileiras, mais especificamente à relacionada aos possíveis impactos ambientais (Art. 1º, da Resolução Conama nº 001, de 23 de janeiro de 1986) para a execução do objeto da proposta e, ainda, realizar a coleta seletiva de todos os resíduos produzidos (Resolução Conama nº 275, de 25 de abril de 2001) e a limpeza do espaço físico durante e após o período de realização das ações previstas;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hd w:fill="ffffff" w:val="clear"/>
        <w:tabs>
          <w:tab w:val="left" w:leader="none" w:pos="567"/>
        </w:tabs>
        <w:spacing w:after="120" w:before="240" w:line="240" w:lineRule="auto"/>
        <w:ind w:left="0" w:hanging="2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Realizar todas as intervenções e serviços que se fizerem necessários para promover a acessibilidade cultural e a inclusão de pessoas com mobilidade reduzida e pessoas com deficiência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durante as ações propostas, garantindo ainda exibições audiovisuais, se houver, que disponham de recursos de legendagem descritiva, audiodescrição e LIBRAS – Língua Brasileira de Sinais;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hd w:fill="ffffff" w:val="clear"/>
        <w:tabs>
          <w:tab w:val="left" w:leader="none" w:pos="567"/>
        </w:tabs>
        <w:spacing w:after="120" w:before="240" w:line="240" w:lineRule="auto"/>
        <w:ind w:left="0" w:hanging="2"/>
        <w:jc w:val="both"/>
        <w:rPr>
          <w:highlight w:val="whit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Disponibilizar livre acesso à população beneficiada para todas as ações propostas no projeto;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hd w:fill="ffffff" w:val="clear"/>
        <w:tabs>
          <w:tab w:val="left" w:leader="none" w:pos="567"/>
        </w:tabs>
        <w:spacing w:after="120" w:before="240" w:line="240" w:lineRule="auto"/>
        <w:ind w:left="0" w:hanging="2"/>
        <w:jc w:val="both"/>
        <w:rPr>
          <w:highlight w:val="white"/>
        </w:rPr>
      </w:pPr>
      <w:r w:rsidDel="00000000" w:rsidR="00000000" w:rsidRPr="00000000">
        <w:rPr>
          <w:rFonts w:ascii="Calibri" w:cs="Calibri" w:eastAsia="Calibri" w:hAnsi="Calibri"/>
          <w:highlight w:val="white"/>
          <w:rtl w:val="0"/>
        </w:rPr>
        <w:t xml:space="preserve">Estar ciente que: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240" w:line="240" w:lineRule="auto"/>
        <w:ind w:left="0" w:hanging="2"/>
        <w:jc w:val="both"/>
        <w:rPr>
          <w:rFonts w:ascii="Calibri" w:cs="Calibri" w:eastAsia="Calibri" w:hAnsi="Calibri"/>
          <w:highlight w:val="white"/>
        </w:rPr>
      </w:pPr>
      <w:r w:rsidDel="00000000" w:rsidR="00000000" w:rsidRPr="00000000">
        <w:rPr>
          <w:rFonts w:ascii="Calibri" w:cs="Calibri" w:eastAsia="Calibri" w:hAnsi="Calibri"/>
          <w:highlight w:val="white"/>
          <w:rtl w:val="0"/>
        </w:rPr>
        <w:t xml:space="preserve">Os bens patrimoniais adquiridos deverão ser gravados com cláusula de inalienabilidade enquanto viger a parceria, sendo que, na hipótese de extinção da entidade cultural durante a vigência do presente instrumento, a propriedade de tais ben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s será transferida à Administração Pública;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240" w:line="240" w:lineRule="auto"/>
        <w:ind w:left="0" w:hanging="2"/>
        <w:jc w:val="both"/>
        <w:rPr>
          <w:rFonts w:ascii="Calibri" w:cs="Calibri" w:eastAsia="Calibri" w:hAnsi="Calibri"/>
          <w:highlight w:val="white"/>
        </w:rPr>
      </w:pPr>
      <w:r w:rsidDel="00000000" w:rsidR="00000000" w:rsidRPr="00000000">
        <w:rPr>
          <w:rFonts w:ascii="Calibri" w:cs="Calibri" w:eastAsia="Calibri" w:hAnsi="Calibri"/>
          <w:highlight w:val="white"/>
          <w:rtl w:val="0"/>
        </w:rPr>
        <w:t xml:space="preserve">Quando da extinção da parceria, os bens remanescentes permanecerão na propriedade da entidade cultural, na medida em que os bens serão úteis à continuidade da execução de ações de interesse social pela organização; e</w:t>
      </w:r>
    </w:p>
    <w:p w:rsidR="00000000" w:rsidDel="00000000" w:rsidP="00000000" w:rsidRDefault="00000000" w:rsidRPr="00000000" w14:paraId="00000018">
      <w:pPr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240" w:line="240" w:lineRule="auto"/>
        <w:ind w:left="0" w:hanging="2"/>
        <w:jc w:val="both"/>
        <w:rPr>
          <w:rFonts w:ascii="Calibri" w:cs="Calibri" w:eastAsia="Calibri" w:hAnsi="Calibri"/>
          <w:highlight w:val="white"/>
        </w:rPr>
      </w:pPr>
      <w:r w:rsidDel="00000000" w:rsidR="00000000" w:rsidRPr="00000000">
        <w:rPr>
          <w:rFonts w:ascii="Calibri" w:cs="Calibri" w:eastAsia="Calibri" w:hAnsi="Calibri"/>
          <w:highlight w:val="white"/>
          <w:rtl w:val="0"/>
        </w:rPr>
        <w:t xml:space="preserve">Na hipótese de extinção da entidade cultural após a vigência do instrumento celebrado, será aplicada Cláusula do Estatuto Social.</w:t>
      </w:r>
    </w:p>
    <w:p w:rsidR="00000000" w:rsidDel="00000000" w:rsidP="00000000" w:rsidRDefault="00000000" w:rsidRPr="00000000" w14:paraId="00000019">
      <w:pPr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67"/>
          <w:tab w:val="left" w:leader="none" w:pos="1134"/>
        </w:tabs>
        <w:spacing w:after="120" w:before="240" w:line="240" w:lineRule="auto"/>
        <w:ind w:left="0" w:hanging="2"/>
        <w:jc w:val="both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Estar ciente das regras de democratização dos recursos: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tabs>
          <w:tab w:val="left" w:leader="none" w:pos="567"/>
          <w:tab w:val="left" w:leader="none" w:pos="1134"/>
        </w:tabs>
        <w:spacing w:after="0" w:line="240" w:lineRule="auto"/>
        <w:ind w:left="720" w:firstLine="0"/>
        <w:jc w:val="both"/>
        <w:rPr>
          <w:rFonts w:ascii="Calibri" w:cs="Calibri" w:eastAsia="Calibri" w:hAnsi="Calibri"/>
          <w:i w:val="1"/>
          <w:iCs w:val="1"/>
        </w:rPr>
      </w:pPr>
      <w:hyperlink r:id="rId7">
        <w:r w:rsidDel="00000000" w:rsidR="00000000" w:rsidRPr="00000000">
          <w:rPr>
            <w:rFonts w:ascii="Calibri" w:cs="Calibri" w:eastAsia="Calibri" w:hAnsi="Calibri"/>
            <w:i w:val="1"/>
            <w:iCs w:val="1"/>
            <w:u w:val="single"/>
            <w:rtl w:val="0"/>
          </w:rPr>
          <w:t xml:space="preserve">Instrução Normativa MinC nº  1/2015, art. 21, </w:t>
        </w:r>
      </w:hyperlink>
      <w:hyperlink r:id="rId8">
        <w:r w:rsidDel="00000000" w:rsidR="00000000" w:rsidRPr="00000000">
          <w:rPr>
            <w:rFonts w:ascii="Calibri" w:cs="Calibri" w:eastAsia="Calibri" w:hAnsi="Calibri"/>
            <w:i w:val="1"/>
            <w:iCs w:val="1"/>
            <w:highlight w:val="white"/>
            <w:u w:val="single"/>
            <w:rtl w:val="0"/>
          </w:rPr>
          <w:t xml:space="preserve">§ 3º: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tabs>
          <w:tab w:val="left" w:leader="none" w:pos="567"/>
          <w:tab w:val="left" w:leader="none" w:pos="1134"/>
        </w:tabs>
        <w:spacing w:after="0" w:line="240" w:lineRule="auto"/>
        <w:ind w:left="720" w:firstLine="0"/>
        <w:jc w:val="both"/>
        <w:rPr>
          <w:rFonts w:ascii="Calibri" w:cs="Calibri" w:eastAsia="Calibri" w:hAnsi="Calibri"/>
          <w:b w:val="1"/>
          <w:bCs w:val="1"/>
          <w:i w:val="1"/>
          <w:iCs w:val="1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rtl w:val="0"/>
        </w:rPr>
        <w:t xml:space="preserve">I - uma mesma entidade cultural não poderá ter dois ou mais TCC vigentes simultaneamente para execução de projetos da PNCV, mesmo que selecionada em editais diferentes ou de Entes Federados distintos,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rtl w:val="0"/>
        </w:rPr>
        <w:t xml:space="preserve">salvo quando:</w:t>
      </w:r>
    </w:p>
    <w:p w:rsidR="00000000" w:rsidDel="00000000" w:rsidP="00000000" w:rsidRDefault="00000000" w:rsidRPr="00000000" w14:paraId="0000001C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tabs>
          <w:tab w:val="left" w:leader="none" w:pos="567"/>
          <w:tab w:val="left" w:leader="none" w:pos="1134"/>
        </w:tabs>
        <w:spacing w:after="0" w:line="240" w:lineRule="auto"/>
        <w:ind w:left="720" w:firstLine="0"/>
        <w:jc w:val="both"/>
        <w:rPr>
          <w:rFonts w:ascii="Calibri" w:cs="Calibri" w:eastAsia="Calibri" w:hAnsi="Calibri"/>
          <w:i w:val="1"/>
          <w:iCs w:val="1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rtl w:val="0"/>
        </w:rPr>
        <w:t xml:space="preserve">a) no ato de formalização do segundo TCC,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rtl w:val="0"/>
        </w:rPr>
        <w:t xml:space="preserve">a entidade não tenha parcelas para receber e já tenha executado mais da metade do cronograma relacionado à última parcela do TCC ativo</w:t>
      </w:r>
      <w:r w:rsidDel="00000000" w:rsidR="00000000" w:rsidRPr="00000000">
        <w:rPr>
          <w:rFonts w:ascii="Calibri" w:cs="Calibri" w:eastAsia="Calibri" w:hAnsi="Calibri"/>
          <w:i w:val="1"/>
          <w:iCs w:val="1"/>
          <w:rtl w:val="0"/>
        </w:rPr>
        <w:t xml:space="preserve">; ou</w:t>
      </w:r>
    </w:p>
    <w:p w:rsidR="00000000" w:rsidDel="00000000" w:rsidP="00000000" w:rsidRDefault="00000000" w:rsidRPr="00000000" w14:paraId="0000001D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tabs>
          <w:tab w:val="left" w:leader="none" w:pos="567"/>
          <w:tab w:val="left" w:leader="none" w:pos="1134"/>
        </w:tabs>
        <w:spacing w:after="0" w:line="240" w:lineRule="auto"/>
        <w:ind w:left="720" w:firstLine="0"/>
        <w:jc w:val="both"/>
        <w:rPr>
          <w:rFonts w:ascii="Calibri" w:cs="Calibri" w:eastAsia="Calibri" w:hAnsi="Calibri"/>
          <w:i w:val="1"/>
          <w:iCs w:val="1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rtl w:val="0"/>
        </w:rPr>
        <w:t xml:space="preserve">b) quando uma mesma entidade celebre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rtl w:val="0"/>
        </w:rPr>
        <w:t xml:space="preserve">um TCC para fomento a um projeto de Ponto de Cultura e um TCC para fomento a um projeto de Pontão de Cultura</w:t>
      </w:r>
      <w:r w:rsidDel="00000000" w:rsidR="00000000" w:rsidRPr="00000000">
        <w:rPr>
          <w:rFonts w:ascii="Calibri" w:cs="Calibri" w:eastAsia="Calibri" w:hAnsi="Calibri"/>
          <w:i w:val="1"/>
          <w:iCs w:val="1"/>
          <w:rtl w:val="0"/>
        </w:rPr>
        <w:t xml:space="preserve">;</w:t>
      </w:r>
    </w:p>
    <w:p w:rsidR="00000000" w:rsidDel="00000000" w:rsidP="00000000" w:rsidRDefault="00000000" w:rsidRPr="00000000" w14:paraId="0000001E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tabs>
          <w:tab w:val="left" w:leader="none" w:pos="567"/>
          <w:tab w:val="left" w:leader="none" w:pos="1134"/>
        </w:tabs>
        <w:spacing w:after="0" w:line="240" w:lineRule="auto"/>
        <w:ind w:left="720" w:firstLine="0"/>
        <w:jc w:val="both"/>
        <w:rPr>
          <w:rFonts w:ascii="Calibri" w:cs="Calibri" w:eastAsia="Calibri" w:hAnsi="Calibri"/>
          <w:b w:val="1"/>
          <w:bCs w:val="1"/>
          <w:i w:val="1"/>
          <w:iCs w:val="1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rtl w:val="0"/>
        </w:rPr>
        <w:t xml:space="preserve">II - uma mesma entidade não poderá celebrar TCC e receber prêmios no âmbito da PNCV em um período de 12 meses, mesmo que selecionada em editais diferentes ou de Entes Federados distintos,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rtl w:val="0"/>
        </w:rPr>
        <w:t xml:space="preserve"> salvo quando:</w:t>
      </w:r>
    </w:p>
    <w:p w:rsidR="00000000" w:rsidDel="00000000" w:rsidP="00000000" w:rsidRDefault="00000000" w:rsidRPr="00000000" w14:paraId="0000001F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tabs>
          <w:tab w:val="left" w:leader="none" w:pos="567"/>
          <w:tab w:val="left" w:leader="none" w:pos="1134"/>
        </w:tabs>
        <w:spacing w:after="0" w:line="240" w:lineRule="auto"/>
        <w:ind w:left="720" w:firstLine="0"/>
        <w:jc w:val="both"/>
        <w:rPr>
          <w:rFonts w:ascii="Calibri" w:cs="Calibri" w:eastAsia="Calibri" w:hAnsi="Calibri"/>
          <w:i w:val="1"/>
          <w:iCs w:val="1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rtl w:val="0"/>
        </w:rPr>
        <w:t xml:space="preserve">a) já tenha sido premiada em edital da PNCV nos últimos 12 meses e,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rtl w:val="0"/>
        </w:rPr>
        <w:t xml:space="preserve"> posteriormente, seja selecionada em edital de fomento a projeto continuado de Ponto ou Pontão de Cultura</w:t>
      </w:r>
      <w:r w:rsidDel="00000000" w:rsidR="00000000" w:rsidRPr="00000000">
        <w:rPr>
          <w:rFonts w:ascii="Calibri" w:cs="Calibri" w:eastAsia="Calibri" w:hAnsi="Calibri"/>
          <w:i w:val="1"/>
          <w:iCs w:val="1"/>
          <w:rtl w:val="0"/>
        </w:rPr>
        <w:t xml:space="preserve">, para celebração de TCC;</w:t>
      </w:r>
    </w:p>
    <w:p w:rsidR="00000000" w:rsidDel="00000000" w:rsidP="00000000" w:rsidRDefault="00000000" w:rsidRPr="00000000" w14:paraId="00000020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tabs>
          <w:tab w:val="left" w:leader="none" w:pos="567"/>
          <w:tab w:val="left" w:leader="none" w:pos="1134"/>
        </w:tabs>
        <w:spacing w:after="0" w:line="240" w:lineRule="auto"/>
        <w:ind w:left="720" w:firstLine="0"/>
        <w:jc w:val="both"/>
        <w:rPr>
          <w:rFonts w:ascii="Calibri" w:cs="Calibri" w:eastAsia="Calibri" w:hAnsi="Calibri"/>
          <w:i w:val="1"/>
          <w:iCs w:val="1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rtl w:val="0"/>
        </w:rPr>
        <w:t xml:space="preserve">b)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rtl w:val="0"/>
        </w:rPr>
        <w:t xml:space="preserve">no ato de premiação, a entidade não tenha parcelas para receber e já tenha executado mais da metade do cronograma</w:t>
      </w:r>
      <w:r w:rsidDel="00000000" w:rsidR="00000000" w:rsidRPr="00000000">
        <w:rPr>
          <w:rFonts w:ascii="Calibri" w:cs="Calibri" w:eastAsia="Calibri" w:hAnsi="Calibri"/>
          <w:i w:val="1"/>
          <w:iCs w:val="1"/>
          <w:rtl w:val="0"/>
        </w:rPr>
        <w:t xml:space="preserve"> relacionado à última parcela do TCC ativo; ou</w:t>
      </w:r>
    </w:p>
    <w:p w:rsidR="00000000" w:rsidDel="00000000" w:rsidP="00000000" w:rsidRDefault="00000000" w:rsidRPr="00000000" w14:paraId="00000021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tabs>
          <w:tab w:val="left" w:leader="none" w:pos="567"/>
          <w:tab w:val="left" w:leader="none" w:pos="1134"/>
        </w:tabs>
        <w:spacing w:after="0" w:line="240" w:lineRule="auto"/>
        <w:ind w:left="720" w:firstLine="0"/>
        <w:jc w:val="both"/>
        <w:rPr>
          <w:rFonts w:ascii="Calibri" w:cs="Calibri" w:eastAsia="Calibri" w:hAnsi="Calibri"/>
          <w:i w:val="1"/>
          <w:iCs w:val="1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rtl w:val="0"/>
        </w:rPr>
        <w:t xml:space="preserve">c) em um mesmo edital de premiação da PNCV, após selecionadas todas as entidades concorrentes que não tenham firmado TCC nos últimos 12 meses,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rtl w:val="0"/>
        </w:rPr>
        <w:t xml:space="preserve">ainda existam vagas disponíveis</w:t>
      </w:r>
      <w:r w:rsidDel="00000000" w:rsidR="00000000" w:rsidRPr="00000000">
        <w:rPr>
          <w:rFonts w:ascii="Calibri" w:cs="Calibri" w:eastAsia="Calibri" w:hAnsi="Calibri"/>
          <w:i w:val="1"/>
          <w:iCs w:val="1"/>
          <w:rtl w:val="0"/>
        </w:rPr>
        <w:t xml:space="preserve">.</w:t>
      </w:r>
    </w:p>
    <w:p w:rsidR="00000000" w:rsidDel="00000000" w:rsidP="00000000" w:rsidRDefault="00000000" w:rsidRPr="00000000" w14:paraId="00000022">
      <w:pPr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67"/>
          <w:tab w:val="left" w:leader="none" w:pos="1134"/>
        </w:tabs>
        <w:spacing w:after="120" w:before="240" w:line="240" w:lineRule="auto"/>
        <w:ind w:left="0" w:hanging="2"/>
        <w:jc w:val="both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Estar ciente de que qualquer inexatidão dos itens informados acima implicará na rescisão do instrumento que vier a ser celebrado e me sujeitará às penalidades previstas no art. 299 do Código Penal Brasileiro, sem prejuízo de outras medidas administrativas cabíveis.</w:t>
        <w:br w:type="textWrapping"/>
        <w:br w:type="textWrapping"/>
        <w:br w:type="textWrapping"/>
        <w:br w:type="textWrapping"/>
        <w:t xml:space="preserve">_____________________,________/_______/ _______.</w:t>
      </w:r>
    </w:p>
    <w:p w:rsidR="00000000" w:rsidDel="00000000" w:rsidP="00000000" w:rsidRDefault="00000000" w:rsidRPr="00000000" w14:paraId="00000023">
      <w:pPr>
        <w:widowControl w:val="0"/>
        <w:spacing w:after="120" w:before="240" w:lineRule="auto"/>
        <w:ind w:hanging="2"/>
        <w:jc w:val="lef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(Local e data)</w:t>
        <w:br w:type="textWrapping"/>
        <w:br w:type="textWrapping"/>
        <w:br w:type="textWrapping"/>
      </w:r>
      <w:r w:rsidDel="00000000" w:rsidR="00000000" w:rsidRPr="00000000">
        <w:rPr>
          <w:rFonts w:ascii="Calibri" w:cs="Calibri" w:eastAsia="Calibri" w:hAnsi="Calibri"/>
          <w:rtl w:val="0"/>
        </w:rPr>
        <w:t xml:space="preserve">____________________________________________________</w:t>
        <w:br w:type="textWrapping"/>
        <w:t xml:space="preserve">Assinatura</w:t>
        <w:br w:type="textWrapping"/>
      </w:r>
      <w:r w:rsidDel="00000000" w:rsidR="00000000" w:rsidRPr="00000000">
        <w:rPr>
          <w:rFonts w:ascii="Calibri" w:cs="Calibri" w:eastAsia="Calibri" w:hAnsi="Calibri"/>
          <w:rtl w:val="0"/>
        </w:rPr>
        <w:t xml:space="preserve">(Responsável Legal da Entidade Cultural)</w:t>
        <w:br w:type="textWrapping"/>
        <w:t xml:space="preserve">NOME COMPLETO</w:t>
      </w:r>
    </w:p>
    <w:p w:rsidR="00000000" w:rsidDel="00000000" w:rsidP="00000000" w:rsidRDefault="00000000" w:rsidRPr="00000000" w14:paraId="00000024">
      <w:pPr>
        <w:spacing w:line="240" w:lineRule="auto"/>
        <w:ind w:left="0" w:hanging="2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40" w:lineRule="auto"/>
        <w:ind w:left="0" w:hanging="2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40" w:lineRule="auto"/>
        <w:ind w:left="0" w:hanging="2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40" w:lineRule="auto"/>
        <w:ind w:left="0" w:hanging="2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485775</wp:posOffset>
            </wp:positionH>
            <wp:positionV relativeFrom="paragraph">
              <wp:posOffset>6828234</wp:posOffset>
            </wp:positionV>
            <wp:extent cx="5399730" cy="965200"/>
            <wp:effectExtent b="0" l="0" r="0" t="0"/>
            <wp:wrapTopAndBottom distB="114300" distT="114300"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399730" cy="9652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sectPr>
      <w:headerReference r:id="rId10" w:type="default"/>
      <w:headerReference r:id="rId11" w:type="first"/>
      <w:headerReference r:id="rId12" w:type="even"/>
      <w:footerReference r:id="rId13" w:type="default"/>
      <w:footerReference r:id="rId14" w:type="first"/>
      <w:footerReference r:id="rId15" w:type="even"/>
      <w:pgSz w:h="16838" w:w="11906" w:orient="portrait"/>
      <w:pgMar w:bottom="851" w:top="851" w:left="850" w:right="851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libri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spacing w:line="240" w:lineRule="auto"/>
      <w:ind w:left="0" w:hanging="2"/>
      <w:jc w:val="right"/>
      <w:rPr>
        <w:rFonts w:ascii="Calibri" w:cs="Calibri" w:eastAsia="Calibri" w:hAnsi="Calibri"/>
        <w:b w:val="1"/>
        <w:bCs w:val="1"/>
        <w:color w:val="000000"/>
        <w:sz w:val="16"/>
        <w:szCs w:val="16"/>
      </w:rPr>
    </w:pPr>
    <w:r w:rsidDel="00000000" w:rsidR="00000000" w:rsidRPr="00000000">
      <w:rPr>
        <w:rFonts w:ascii="Calibri" w:cs="Calibri" w:eastAsia="Calibri" w:hAnsi="Calibri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Calibri" w:cs="Calibri" w:eastAsia="Calibri" w:hAnsi="Calibri"/>
        <w:b w:val="1"/>
        <w:bCs w:val="1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Calibri" w:cs="Calibri" w:eastAsia="Calibri" w:hAnsi="Calibri"/>
        <w:b w:val="1"/>
        <w:bCs w:val="1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114300" distT="114300" distL="114300" distR="114300" hidden="0" layoutInCell="1" locked="0" relativeHeight="0" simplePos="0">
          <wp:simplePos x="0" y="0"/>
          <wp:positionH relativeFrom="column">
            <wp:posOffset>409575</wp:posOffset>
          </wp:positionH>
          <wp:positionV relativeFrom="paragraph">
            <wp:posOffset>114300</wp:posOffset>
          </wp:positionV>
          <wp:extent cx="5400675" cy="972397"/>
          <wp:effectExtent b="0" l="0" r="0" t="0"/>
          <wp:wrapNone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-8911" l="-2469" r="2469" t="8911"/>
                  <a:stretch>
                    <a:fillRect/>
                  </a:stretch>
                </pic:blipFill>
                <pic:spPr>
                  <a:xfrm>
                    <a:off x="0" y="0"/>
                    <a:ext cx="5400675" cy="972397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2D">
    <w:pPr>
      <w:tabs>
        <w:tab w:val="center" w:leader="none" w:pos="0"/>
      </w:tabs>
      <w:ind w:left="1440" w:firstLine="0"/>
      <w:jc w:val="both"/>
      <w:rPr>
        <w:rFonts w:ascii="Calibri" w:cs="Calibri" w:eastAsia="Calibri" w:hAnsi="Calibri"/>
        <w:i w:val="1"/>
        <w:iCs w:val="1"/>
        <w:color w:val="ff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E">
    <w:pPr>
      <w:spacing w:line="276" w:lineRule="auto"/>
      <w:ind w:firstLine="0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Fonts w:ascii="Arial" w:cs="Arial" w:eastAsia="Arial" w:hAnsi="Arial"/>
        <w:sz w:val="22"/>
        <w:szCs w:val="22"/>
        <w:rtl w:val="0"/>
      </w:rPr>
      <w:t xml:space="preserve">                                                                                                                                                            </w:t>
    </w:r>
  </w:p>
  <w:p w:rsidR="00000000" w:rsidDel="00000000" w:rsidP="00000000" w:rsidRDefault="00000000" w:rsidRPr="00000000" w14:paraId="0000002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spacing w:line="240" w:lineRule="auto"/>
      <w:ind w:left="0" w:hanging="2"/>
      <w:jc w:val="right"/>
      <w:rPr>
        <w:rFonts w:ascii="Calibri" w:cs="Calibri" w:eastAsia="Calibri" w:hAnsi="Calibri"/>
        <w:b w:val="1"/>
        <w:bCs w:val="1"/>
        <w:sz w:val="16"/>
        <w:szCs w:val="16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1194435</wp:posOffset>
          </wp:positionH>
          <wp:positionV relativeFrom="paragraph">
            <wp:posOffset>299038</wp:posOffset>
          </wp:positionV>
          <wp:extent cx="5399730" cy="965200"/>
          <wp:effectExtent b="0" l="0" r="0" t="0"/>
          <wp:wrapTopAndBottom distB="114300" distT="114300"/>
          <wp:docPr id="4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399730" cy="96520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1194435</wp:posOffset>
          </wp:positionH>
          <wp:positionV relativeFrom="paragraph">
            <wp:posOffset>299038</wp:posOffset>
          </wp:positionV>
          <wp:extent cx="5399730" cy="965200"/>
          <wp:effectExtent b="0" l="0" r="0" t="0"/>
          <wp:wrapTopAndBottom distB="114300" distT="114300"/>
          <wp:docPr id="2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399730" cy="965200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spacing w:line="240" w:lineRule="auto"/>
      <w:ind w:left="0" w:hanging="2"/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spacing w:line="240" w:lineRule="auto"/>
      <w:ind w:left="0" w:hanging="2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8">
    <w:pPr>
      <w:spacing w:line="276" w:lineRule="auto"/>
      <w:ind w:hanging="450"/>
      <w:jc w:val="both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spacing w:line="240" w:lineRule="auto"/>
      <w:ind w:left="0" w:hanging="2"/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spacing w:line="240" w:lineRule="auto"/>
      <w:ind w:left="0" w:hanging="2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spacing w:line="240" w:lineRule="auto"/>
      <w:ind w:left="0" w:hanging="2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lowerLetter"/>
      <w:lvlText w:val="%1)"/>
      <w:lvlJc w:val="left"/>
      <w:pPr>
        <w:ind w:left="720" w:hanging="360"/>
      </w:pPr>
      <w:rPr>
        <w:b w:val="1"/>
        <w:bCs w:val="1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rFonts w:ascii="Calibri" w:cs="Calibri" w:eastAsia="Calibri" w:hAnsi="Calibri"/>
        <w:b w:val="1"/>
        <w:bCs w:val="1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pt_BR"/>
      </w:rPr>
    </w:rPrDefault>
    <w:pPrDefault>
      <w:pPr>
        <w:ind w:hanging="1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2.xml"/><Relationship Id="rId10" Type="http://schemas.openxmlformats.org/officeDocument/2006/relationships/header" Target="header1.xml"/><Relationship Id="rId13" Type="http://schemas.openxmlformats.org/officeDocument/2006/relationships/footer" Target="footer1.xml"/><Relationship Id="rId12" Type="http://schemas.openxmlformats.org/officeDocument/2006/relationships/header" Target="header3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1.png"/><Relationship Id="rId15" Type="http://schemas.openxmlformats.org/officeDocument/2006/relationships/footer" Target="footer3.xml"/><Relationship Id="rId14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www.gov.br/cultura/pt-br/acesso-a-informacao/legislacao-e-normativas/instrucao-normativa-minc-no-1-de-7-de-abril-de-2015-1" TargetMode="External"/><Relationship Id="rId8" Type="http://schemas.openxmlformats.org/officeDocument/2006/relationships/hyperlink" Target="https://www.gov.br/cultura/pt-br/acesso-a-informacao/legislacao-e-normativas/instrucao-normativa-minc-no-1-de-7-de-abril-de-2015-1" TargetMode="Externa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RDfPZG4PrLb7+V0579lORmlk6fg==">CgMxLjA4AHIhMWxIeHM4MGltRHBEVmU4cEVyTnp2QmpZU19xR05ZZDZ4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